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sz w:val="30"/>
          <w:szCs w:val="30"/>
        </w:rPr>
        <w:t>附件1：笔记本电脑比较试验-强制性检测项目结果一览表</w:t>
      </w:r>
    </w:p>
    <w:bookmarkEnd w:id="0"/>
    <w:tbl>
      <w:tblPr>
        <w:tblStyle w:val="5"/>
        <w:tblW w:w="160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439"/>
        <w:gridCol w:w="721"/>
        <w:gridCol w:w="895"/>
        <w:gridCol w:w="952"/>
        <w:gridCol w:w="1190"/>
        <w:gridCol w:w="812"/>
        <w:gridCol w:w="797"/>
        <w:gridCol w:w="1176"/>
        <w:gridCol w:w="1120"/>
        <w:gridCol w:w="1218"/>
        <w:gridCol w:w="1148"/>
        <w:gridCol w:w="1133"/>
        <w:gridCol w:w="826"/>
        <w:gridCol w:w="1187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Header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品牌与型号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输入电流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标记和说明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设备内的电容放电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湿热处理后的抗电强度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发热要求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接触电流和保护导体电流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电源端子骚扰电压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电信端口的传导共模骚扰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1G以下辐射骚扰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1G以上辐射骚扰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谐波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便携式计算机典型能源消耗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三星900X3K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联想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Lenovo YOGA 3Pro-1370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苹果A1466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东芝PORTEGE R30-A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宏碁ZQ0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戴尔Inspiron 14-3443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华硕R454L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惠普TPN-C125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海尔S410-B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Dier（迪尔）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BLUEING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（蓝影）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神舟HEF4613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0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注：“√”表示通过，“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”表示不通过，“/”表示不适用（1.电池项目：无设备制造厂商和电池制造厂商提供的电池数据无法判定；2.电信端口的传导共模骚扰项目：不具备电信端口时不适用；3.谐波项目：产品功率小于75W无需试验）。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4430A"/>
    <w:rsid w:val="492443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2016-06-01T02:59:00Z</dcterms:created>
  <dc:creator>hedy</dc:creator>
  <cp:lastModifiedBy>hedy</cp:lastModifiedBy>
  <dcterms:modified xsi:type="dcterms:W3CDTF">2016-06-01T02:59:34Z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